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9D4EB4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9D4EB4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9D4EB4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9D4EB4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9D4EB4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Creștină </w:t>
            </w:r>
            <w:proofErr w:type="spellStart"/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537F02" w:rsidRPr="009D4EB4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9D4EB4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9D4EB4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9D4EB4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9D4EB4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9D4EB4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9D4EB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9D4EB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9D4EB4" w:rsidRDefault="002D1438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interpretariat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9D4EB4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9D4EB4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BE5B34" w:rsidP="00BE5B3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 xml:space="preserve">Traduceri Computerizate </w:t>
            </w:r>
            <w:r w:rsidR="0070047B">
              <w:rPr>
                <w:rFonts w:ascii="Times New Roman" w:hAnsi="Times New Roman" w:cs="Times New Roman"/>
                <w:sz w:val="24"/>
                <w:lang w:val="ro-RO"/>
              </w:rPr>
              <w:t>I</w:t>
            </w:r>
            <w:r w:rsidR="001514B8" w:rsidRPr="009D4EB4">
              <w:rPr>
                <w:rFonts w:ascii="Times New Roman" w:hAnsi="Times New Roman" w:cs="Times New Roman"/>
                <w:sz w:val="24"/>
                <w:lang w:val="ro-RO"/>
              </w:rPr>
              <w:t>I</w:t>
            </w: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. (engleză</w:t>
            </w:r>
            <w:r w:rsidR="00CD2BBA" w:rsidRPr="009D4EB4">
              <w:rPr>
                <w:rFonts w:ascii="Times New Roman" w:hAnsi="Times New Roman" w:cs="Times New Roman"/>
                <w:sz w:val="24"/>
                <w:lang w:val="ro-RO"/>
              </w:rPr>
              <w:t>)</w:t>
            </w:r>
          </w:p>
        </w:tc>
      </w:tr>
      <w:tr w:rsidR="0078618A" w:rsidRPr="009D4EB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7954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Conf. Univ. </w:t>
            </w:r>
            <w:r w:rsidR="00ED677F">
              <w:rPr>
                <w:rFonts w:ascii="Times New Roman" w:hAnsi="Times New Roman" w:cs="Times New Roman"/>
                <w:lang w:val="ro-RO"/>
              </w:rPr>
              <w:t xml:space="preserve">Dr. </w:t>
            </w:r>
            <w:proofErr w:type="spellStart"/>
            <w:r w:rsidR="00ED677F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ED677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ED677F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9D4EB4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7954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Conf. Univ.</w:t>
            </w:r>
            <w:r w:rsidR="00ED677F">
              <w:rPr>
                <w:rFonts w:ascii="Times New Roman" w:hAnsi="Times New Roman" w:cs="Times New Roman"/>
                <w:lang w:val="ro-RO"/>
              </w:rPr>
              <w:t xml:space="preserve"> Dr. </w:t>
            </w:r>
            <w:proofErr w:type="spellStart"/>
            <w:r w:rsidR="00ED677F"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 w:rsidR="00ED677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ED677F"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  <w:tr w:rsidR="0078618A" w:rsidRPr="009D4EB4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2BBA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9D4EB4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FF4317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9D4EB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9D4EB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9D4EB4" w:rsidRDefault="0078618A" w:rsidP="00BE5B3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BE5B34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9D4EB4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9D4EB4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1514B8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9D4EB4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1514B8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9D4EB4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BE5B3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9D4EB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BE5B3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9D4EB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BE5B3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1514B8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B8" w:rsidRPr="009D4EB4" w:rsidRDefault="001514B8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proofErr w:type="spellStart"/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B8" w:rsidRPr="009D4EB4" w:rsidRDefault="00BE5B34" w:rsidP="00BE5B3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3</w:t>
            </w:r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007883" w:rsidP="00BE5B3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9D4EB4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7A1432" w:rsidP="00BE5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9D4EB4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CD3166" w:rsidP="00BE5B3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  <w:bookmarkStart w:id="0" w:name="_GoBack"/>
            <w:bookmarkEnd w:id="0"/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BE5B34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514B8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9D4EB4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BE5B34" w:rsidP="00BE5B3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9D4EB4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9D4EB4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9D4EB4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9D4EB4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9D4EB4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9D4EB4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9D4EB4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9D4EB4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9D4EB4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9D4EB4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9D4EB4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9D4E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9D4EB4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9D4EB4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9D4EB4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9D4EB4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9D4EB4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9D4EB4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9D4EB4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800"/>
      </w:tblGrid>
      <w:tr w:rsidR="002D594D" w:rsidRPr="009D4EB4" w:rsidTr="00C97F0B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EB4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C1.1 Definirea, descrierea şi explicarea principalelor concepte, teorii, metode specifice studiului.</w:t>
            </w:r>
          </w:p>
          <w:p w:rsidR="009D4EB4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C1.2 Utilizarea aparatului conceptual specific domeniului pentru explicarea fenomenelor lingvistice fundamentale specifice domeniului.</w:t>
            </w:r>
          </w:p>
          <w:p w:rsidR="009D4EB4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C2.1 Definirea, descrierea şi explicarea principalelor concepte, teorii, metode care stau la baza traducerii, terminologiei în limbile specifice domeniilor profesionale de aplicaţie vizate.</w:t>
            </w:r>
          </w:p>
          <w:p w:rsidR="009D4EB4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C2.2 Utilizarea conceptelor, teoriilor, metodelor respective pentru explicarea unor fenomene fundamentale asociate domeniului traducerii (analiza traducerii, compararea traducerilor, etc.) şi terminologiei specifice limbilor studiate.</w:t>
            </w:r>
          </w:p>
          <w:p w:rsidR="009D4EB4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C3.2 Utilizarea conceptelor, tehnicilor şi metodelor fundamentale de documentare, căutare, clasificare şi stocare a informaţiei, folosirii programelor informatice (dicţionare electronice, baze de date, traducere asistată de calculator), pentru a explica alegerea unor variante de traducere si pentru a interpreta diferitele variante de traducere.</w:t>
            </w:r>
          </w:p>
          <w:p w:rsidR="009D2FFC" w:rsidRPr="009D4EB4" w:rsidRDefault="009D4EB4" w:rsidP="009D4EB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C3.3 Aplicarea unor principii şi instrumente de bază pentru tehnoredactare, corectura de texte efectuarea documentării, stocării informaţiilor relevante domeniului, utilizarea unor aplicaţii informatice specifice la nivel mediu (ex. </w:t>
            </w:r>
            <w:proofErr w:type="spellStart"/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Trados</w:t>
            </w:r>
            <w:proofErr w:type="spellEnd"/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pentru efectuarea activităţilor de traducere, cu sau fără instalaţiile adecvate, pentru arhivarea documentelor.</w:t>
            </w:r>
          </w:p>
        </w:tc>
      </w:tr>
      <w:tr w:rsidR="002D594D" w:rsidRPr="009D4EB4" w:rsidTr="00C97F0B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15" w:rsidRPr="009D4EB4" w:rsidRDefault="00B05F15" w:rsidP="00B05F1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 Gestionarea optimă a sarcinilor profesionale şi deprinderea executării lor la termen, în mod riguros, eficient şi responsabil; Respectarea normelor de etică specifice domeniului</w:t>
            </w:r>
          </w:p>
          <w:p w:rsidR="00B05F15" w:rsidRPr="009D4EB4" w:rsidRDefault="00B05F15" w:rsidP="00B05F1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:rsidR="0039434A" w:rsidRPr="009D4EB4" w:rsidRDefault="00B05F15" w:rsidP="0039434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CT3. Identificarea şi utilizarea unor metode şi tehnici eficiente de învăţare; conştientizarea motivaţiilor extrinseci şi intrinseci ale învăţării continue</w:t>
            </w:r>
            <w:r w:rsidR="0039434A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9D4EB4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9D4EB4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9D4EB4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9D4EB4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9D4EB4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9D4EB4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9D4EB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67"/>
      </w:tblGrid>
      <w:tr w:rsidR="002D594D" w:rsidRPr="009D4EB4" w:rsidTr="0039434A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4A" w:rsidRPr="009D4EB4" w:rsidRDefault="00272B09" w:rsidP="0070047B">
            <w:pPr>
              <w:pStyle w:val="ListParagraph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Însuşirea de către studenţi a noţiunilor fundamentale care reprezintă obiectul de activitate al </w:t>
            </w:r>
            <w:r w:rsidR="0039434A"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Traducerii Computerizate</w:t>
            </w: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, disciplină care studiază </w:t>
            </w:r>
            <w:proofErr w:type="spellStart"/>
            <w:r w:rsidR="0039434A"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softverele</w:t>
            </w:r>
            <w:proofErr w:type="spellEnd"/>
            <w:r w:rsidR="0039434A"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 de traducere existente și operațiile realizate cu ajutorul acestora</w:t>
            </w: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.</w:t>
            </w:r>
          </w:p>
          <w:p w:rsidR="0039434A" w:rsidRPr="009D4EB4" w:rsidRDefault="0039434A" w:rsidP="0070047B">
            <w:pPr>
              <w:pStyle w:val="ListParagraph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Fixarea unor tehnici de traducere specifice prin traducerea computerizată;</w:t>
            </w:r>
          </w:p>
          <w:p w:rsidR="0039434A" w:rsidRPr="009D4EB4" w:rsidRDefault="0039434A" w:rsidP="0070047B">
            <w:pPr>
              <w:pStyle w:val="ListParagraph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Îmbunătăţirea capacităţii studenţilor de a opera cu noţiuni specifice </w:t>
            </w:r>
            <w:proofErr w:type="spellStart"/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softverelor</w:t>
            </w:r>
            <w:proofErr w:type="spellEnd"/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;</w:t>
            </w:r>
          </w:p>
          <w:p w:rsidR="0039434A" w:rsidRPr="009D4EB4" w:rsidRDefault="0039434A" w:rsidP="0070047B">
            <w:pPr>
              <w:pStyle w:val="ListParagraph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Dezvoltarea abilităţii de sintetizarea conceptelor fundamentale şi evaluarea critică a perspectivelor multiple aparţinând disciplinei.</w:t>
            </w:r>
          </w:p>
        </w:tc>
      </w:tr>
      <w:tr w:rsidR="002D594D" w:rsidRPr="009D4EB4" w:rsidTr="0039434A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B6A" w:rsidRPr="009D4EB4" w:rsidRDefault="009D4EB4" w:rsidP="009D4EB4">
            <w:pPr>
              <w:rPr>
                <w:lang w:val="ro-RO"/>
              </w:rPr>
            </w:pPr>
            <w:r w:rsidRPr="009D4EB4">
              <w:rPr>
                <w:rStyle w:val="fontstyle01"/>
                <w:b/>
                <w:lang w:val="ro-RO"/>
              </w:rPr>
              <w:t>A. Obiective cognitive</w:t>
            </w:r>
            <w:r w:rsidRPr="009D4EB4">
              <w:rPr>
                <w:b/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1. Evidenţierea importanţei aspectelor lingvistice şi culturale în cadrul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procesului de traducere şi interpretare;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2. Asimilarea şi utilizarea principalelor programe de traducere;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b/>
                <w:lang w:val="ro-RO"/>
              </w:rPr>
              <w:t>B. Obiective procedurale</w:t>
            </w:r>
            <w:r w:rsidRPr="009D4EB4">
              <w:rPr>
                <w:b/>
                <w:color w:val="000000"/>
                <w:lang w:val="ro-RO"/>
              </w:rPr>
              <w:br/>
            </w:r>
            <w:r w:rsidRPr="009D4EB4">
              <w:rPr>
                <w:rStyle w:val="fontstyle21"/>
                <w:lang w:val="ro-RO"/>
              </w:rPr>
              <w:sym w:font="Symbol" w:char="F031"/>
            </w:r>
            <w:r w:rsidRPr="009D4EB4">
              <w:rPr>
                <w:rStyle w:val="fontstyle21"/>
                <w:lang w:val="ro-RO"/>
              </w:rPr>
              <w:sym w:font="Symbol" w:char="F02E"/>
            </w:r>
            <w:r w:rsidRPr="009D4EB4">
              <w:rPr>
                <w:rStyle w:val="fontstyle21"/>
                <w:lang w:val="ro-RO"/>
              </w:rPr>
              <w:t></w:t>
            </w:r>
            <w:r w:rsidRPr="009D4EB4">
              <w:rPr>
                <w:rStyle w:val="fontstyle01"/>
                <w:lang w:val="ro-RO"/>
              </w:rPr>
              <w:t>Identificarea de modalităţi de analiză şi evaluare a procedeelor de traducere;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21"/>
                <w:lang w:val="ro-RO"/>
              </w:rPr>
              <w:sym w:font="Symbol" w:char="F032"/>
            </w:r>
            <w:r w:rsidRPr="009D4EB4">
              <w:rPr>
                <w:rStyle w:val="fontstyle21"/>
                <w:lang w:val="ro-RO"/>
              </w:rPr>
              <w:sym w:font="Symbol" w:char="F02E"/>
            </w:r>
            <w:r w:rsidRPr="009D4EB4">
              <w:rPr>
                <w:rStyle w:val="fontstyle21"/>
                <w:lang w:val="ro-RO"/>
              </w:rPr>
              <w:t></w:t>
            </w:r>
            <w:r w:rsidRPr="009D4EB4">
              <w:rPr>
                <w:rStyle w:val="fontstyle01"/>
                <w:lang w:val="ro-RO"/>
              </w:rPr>
              <w:t>Aplicarea şi interpretarea corectă a metodelor de traducere şi echivalare a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noţiunilor de gramatică, asimilarea procedeelor de folosire a analizei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contrastive;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21"/>
                <w:lang w:val="ro-RO"/>
              </w:rPr>
              <w:sym w:font="Symbol" w:char="F033"/>
            </w:r>
            <w:r w:rsidRPr="009D4EB4">
              <w:rPr>
                <w:rStyle w:val="fontstyle21"/>
                <w:lang w:val="ro-RO"/>
              </w:rPr>
              <w:sym w:font="Symbol" w:char="F02E"/>
            </w:r>
            <w:r w:rsidRPr="009D4EB4">
              <w:rPr>
                <w:rStyle w:val="fontstyle21"/>
                <w:lang w:val="ro-RO"/>
              </w:rPr>
              <w:t></w:t>
            </w:r>
            <w:r w:rsidRPr="009D4EB4">
              <w:rPr>
                <w:rStyle w:val="fontstyle01"/>
                <w:lang w:val="ro-RO"/>
              </w:rPr>
              <w:t>Adaptarea metodelor teoretice la situaţii de folosire practică a programelor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de traducere;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b/>
                <w:lang w:val="ro-RO"/>
              </w:rPr>
              <w:t>C. Obiective atitudinale</w:t>
            </w:r>
            <w:r w:rsidRPr="009D4EB4">
              <w:rPr>
                <w:rStyle w:val="fontstyle01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lastRenderedPageBreak/>
              <w:t>1. Conştientizarea importanţei cunoaşterii corecte a unor programe de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traducere;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Identificarea elementelor problematice în tehnica traducerii;</w:t>
            </w:r>
          </w:p>
        </w:tc>
      </w:tr>
    </w:tbl>
    <w:p w:rsidR="00AE7451" w:rsidRPr="009D4EB4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499"/>
      </w:tblGrid>
      <w:tr w:rsidR="002D594D" w:rsidRPr="009D4EB4" w:rsidTr="00474B60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9D4EB4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9D4EB4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Limb</w:t>
            </w:r>
            <w:r>
              <w:rPr>
                <w:rFonts w:ascii="Times New Roman" w:hAnsi="Times New Roman" w:cs="Times New Roman"/>
                <w:lang w:val="ro-RO"/>
              </w:rPr>
              <w:t>aje speciale şi subtitrare.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9D4EB4" w:rsidRDefault="00FF4317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D4EB4" w:rsidRDefault="00FF4317" w:rsidP="0070047B">
            <w:pPr>
              <w:pStyle w:val="Default"/>
              <w:numPr>
                <w:ilvl w:val="0"/>
                <w:numId w:val="4"/>
              </w:numPr>
              <w:rPr>
                <w:color w:val="auto"/>
                <w:sz w:val="22"/>
                <w:szCs w:val="22"/>
                <w:lang w:val="ro-RO"/>
              </w:rPr>
            </w:pPr>
            <w:r w:rsidRPr="00FF4317">
              <w:rPr>
                <w:color w:val="auto"/>
                <w:sz w:val="22"/>
                <w:szCs w:val="22"/>
                <w:lang w:val="ro-RO"/>
              </w:rPr>
              <w:t>Subtitrări de specialitate – standarde tehnice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Problemele subtitrării – standarde lingvistice</w:t>
            </w:r>
            <w:r w:rsidR="005919AA" w:rsidRPr="009657B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Subtitrare şi terminologie</w:t>
            </w:r>
            <w:r w:rsidR="005919AA" w:rsidRPr="009657B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Erori în subtitrare</w:t>
            </w:r>
            <w:r w:rsidR="005919AA" w:rsidRPr="009657B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Subtitrări de succes</w:t>
            </w:r>
            <w:r w:rsidR="005919AA" w:rsidRPr="009657B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4D3C02" w:rsidRPr="009D4EB4" w:rsidTr="00474B60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9657B3" w:rsidRDefault="00FF4317" w:rsidP="0070047B">
            <w:pPr>
              <w:pStyle w:val="ListParagraph"/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F4317">
              <w:rPr>
                <w:rFonts w:ascii="Times New Roman" w:hAnsi="Times New Roman" w:cs="Times New Roman"/>
                <w:lang w:val="ro-RO"/>
              </w:rPr>
              <w:t>Subtitrare în secolul 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9657B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FF4317">
              <w:rPr>
                <w:rFonts w:ascii="Times New Roman" w:eastAsia="Times New Roman" w:hAnsi="Times New Roman" w:cs="Times New Roman"/>
                <w:lang w:val="ro-RO"/>
              </w:rPr>
              <w:t xml:space="preserve">Curs cu prezentare </w:t>
            </w:r>
            <w:proofErr w:type="spellStart"/>
            <w:r w:rsidRPr="00FF4317">
              <w:rPr>
                <w:rFonts w:ascii="Times New Roman" w:eastAsia="Times New Roman" w:hAnsi="Times New Roman" w:cs="Times New Roman"/>
                <w:lang w:val="ro-RO"/>
              </w:rPr>
              <w:t>Powerpoint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9D4EB4" w:rsidRDefault="00FF4317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A03E0" w:rsidRPr="009D4EB4" w:rsidRDefault="00EA03E0" w:rsidP="00EA03E0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b/>
                <w:sz w:val="24"/>
                <w:lang w:val="ro-RO"/>
              </w:rPr>
              <w:t>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b/>
                <w:sz w:val="24"/>
                <w:lang w:val="ro-RO"/>
              </w:rPr>
              <w:t>Metode de predare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b/>
                <w:sz w:val="24"/>
                <w:lang w:val="ro-RO"/>
              </w:rPr>
              <w:t>Observaţii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657B3" w:rsidRDefault="00577AB6" w:rsidP="00700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Introducere</w:t>
            </w: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 – cerinţe</w:t>
            </w:r>
            <w:r w:rsidR="009D4EB4" w:rsidRPr="009657B3">
              <w:rPr>
                <w:rFonts w:ascii="Times New Roman" w:hAnsi="Times New Roman" w:cs="Times New Roman"/>
                <w:sz w:val="24"/>
                <w:lang w:val="ro-RO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657B3" w:rsidRDefault="00577AB6" w:rsidP="00B7691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</w:t>
            </w: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tudiu de caz 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–</w:t>
            </w: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 xml:space="preserve">exerciții de </w:t>
            </w:r>
            <w:proofErr w:type="spellStart"/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dubbing</w:t>
            </w:r>
            <w:proofErr w:type="spellEnd"/>
            <w:r w:rsidR="00EA03E0" w:rsidRPr="009657B3"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657B3" w:rsidRDefault="00577AB6" w:rsidP="00B7691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Studiu de caz - subtitrarea limbajului 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în filme documentare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657B3" w:rsidRDefault="00577AB6" w:rsidP="00B7691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Studiu de caz - subtitrarea 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 xml:space="preserve">și </w:t>
            </w:r>
            <w:proofErr w:type="spellStart"/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dubbing-ul</w:t>
            </w:r>
            <w:proofErr w:type="spellEnd"/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 xml:space="preserve">limbajului 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în filme animate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EA03E0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577AB6" w:rsidRDefault="00577AB6" w:rsidP="00700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>Studiu de caz - subtitrarea limbajului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>jurnalistic</w:t>
            </w:r>
            <w:r w:rsidR="005919AA" w:rsidRPr="00577AB6"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proofErr w:type="spellStart"/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>Podcasts</w:t>
            </w:r>
            <w:proofErr w:type="spellEnd"/>
            <w:r w:rsidR="00B7691A">
              <w:rPr>
                <w:rFonts w:ascii="Times New Roman" w:hAnsi="Times New Roman" w:cs="Times New Roman"/>
                <w:sz w:val="24"/>
                <w:lang w:val="ro-RO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EA03E0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E0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577AB6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B6" w:rsidRPr="00577AB6" w:rsidRDefault="00577AB6" w:rsidP="00700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7AB6">
              <w:rPr>
                <w:rFonts w:ascii="Times New Roman" w:hAnsi="Times New Roman" w:cs="Times New Roman"/>
                <w:sz w:val="24"/>
                <w:lang w:val="ro-RO"/>
              </w:rPr>
              <w:t>Studiu de caz - subtitrarea şi umorul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B6" w:rsidRPr="009D4EB4" w:rsidRDefault="00577AB6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Workshop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B6" w:rsidRDefault="00577AB6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0B3BCC" w:rsidRPr="009D4EB4" w:rsidTr="00474B60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CC" w:rsidRPr="009657B3" w:rsidRDefault="00834308" w:rsidP="00700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ro-RO"/>
              </w:rPr>
            </w:pPr>
            <w:r w:rsidRPr="009657B3">
              <w:rPr>
                <w:rFonts w:ascii="Times New Roman" w:hAnsi="Times New Roman" w:cs="Times New Roman"/>
                <w:sz w:val="24"/>
                <w:lang w:val="ro-RO"/>
              </w:rPr>
              <w:t>Evaluare</w:t>
            </w:r>
            <w:r w:rsidR="001752C0" w:rsidRPr="009657B3"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CC" w:rsidRPr="009D4EB4" w:rsidRDefault="00834308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lang w:val="ro-RO"/>
              </w:rPr>
              <w:t>Evaluare scrisă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CC" w:rsidRPr="009D4EB4" w:rsidRDefault="00FF4317" w:rsidP="00EA03E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C76B6E" w:rsidRPr="009D4EB4" w:rsidTr="00474B60">
        <w:trPr>
          <w:trHeight w:val="9633"/>
        </w:trPr>
        <w:tc>
          <w:tcPr>
            <w:tcW w:w="1032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76B6E" w:rsidRPr="009D4EB4" w:rsidRDefault="00C76B6E" w:rsidP="00EA03E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C76B6E" w:rsidRPr="009D4EB4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C76B6E" w:rsidRPr="009D4EB4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Fonts w:ascii="Times New Roman" w:hAnsi="Times New Roman" w:cs="Times New Roman"/>
              </w:rPr>
            </w:pPr>
            <w:proofErr w:type="spellStart"/>
            <w:r w:rsidRPr="00D74564">
              <w:rPr>
                <w:rFonts w:ascii="Times New Roman" w:hAnsi="Times New Roman" w:cs="Times New Roman"/>
                <w:lang w:val="hu-HU"/>
              </w:rPr>
              <w:t>Cintas</w:t>
            </w:r>
            <w:proofErr w:type="spellEnd"/>
            <w:r w:rsidRPr="00D74564">
              <w:rPr>
                <w:rFonts w:ascii="Times New Roman" w:hAnsi="Times New Roman" w:cs="Times New Roman"/>
                <w:lang w:val="hu-HU"/>
              </w:rPr>
              <w:t xml:space="preserve">, Jorge </w:t>
            </w:r>
            <w:proofErr w:type="spellStart"/>
            <w:r w:rsidRPr="00D74564">
              <w:rPr>
                <w:rFonts w:ascii="Times New Roman" w:hAnsi="Times New Roman" w:cs="Times New Roman"/>
                <w:lang w:val="hu-HU"/>
              </w:rPr>
              <w:t>Diaz</w:t>
            </w:r>
            <w:proofErr w:type="spellEnd"/>
            <w:r w:rsidRPr="00D74564">
              <w:rPr>
                <w:rFonts w:ascii="Times New Roman" w:hAnsi="Times New Roman" w:cs="Times New Roman"/>
                <w:lang w:val="hu-HU"/>
              </w:rPr>
              <w:t xml:space="preserve">. </w:t>
            </w:r>
            <w:proofErr w:type="spellStart"/>
            <w:r w:rsidRPr="00D74564">
              <w:rPr>
                <w:rFonts w:ascii="Times New Roman" w:hAnsi="Times New Roman" w:cs="Times New Roman"/>
                <w:i/>
                <w:lang w:val="hu-HU"/>
              </w:rPr>
              <w:t>Audiovisual</w:t>
            </w:r>
            <w:proofErr w:type="spellEnd"/>
            <w:r w:rsidRPr="00D74564">
              <w:rPr>
                <w:rFonts w:ascii="Times New Roman" w:hAnsi="Times New Roman" w:cs="Times New Roman"/>
                <w:i/>
                <w:lang w:val="hu-HU"/>
              </w:rPr>
              <w:t xml:space="preserve"> </w:t>
            </w:r>
            <w:proofErr w:type="spellStart"/>
            <w:r w:rsidRPr="00D74564">
              <w:rPr>
                <w:rFonts w:ascii="Times New Roman" w:hAnsi="Times New Roman" w:cs="Times New Roman"/>
                <w:i/>
                <w:lang w:val="hu-HU"/>
              </w:rPr>
              <w:t>Translation</w:t>
            </w:r>
            <w:proofErr w:type="spellEnd"/>
            <w:r w:rsidRPr="00D74564">
              <w:rPr>
                <w:rFonts w:ascii="Times New Roman" w:hAnsi="Times New Roman" w:cs="Times New Roman"/>
                <w:lang w:val="hu-HU"/>
              </w:rPr>
              <w:t>.</w:t>
            </w:r>
            <w:r w:rsidRPr="00D74564">
              <w:rPr>
                <w:rFonts w:ascii="Times New Roman" w:hAnsi="Times New Roman" w:cs="Times New Roman"/>
              </w:rPr>
              <w:t xml:space="preserve"> London: Routledge, 2009.</w:t>
            </w: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Fonts w:ascii="Times New Roman" w:hAnsi="Times New Roman" w:cs="Times New Roman"/>
              </w:rPr>
            </w:pPr>
            <w:r w:rsidRPr="00D74564">
              <w:rPr>
                <w:rFonts w:ascii="Times New Roman" w:hAnsi="Times New Roman" w:cs="Times New Roman"/>
              </w:rPr>
              <w:t xml:space="preserve">Cintas, Jorge Diaz and Aline </w:t>
            </w:r>
            <w:proofErr w:type="spellStart"/>
            <w:r w:rsidRPr="00D74564">
              <w:rPr>
                <w:rFonts w:ascii="Times New Roman" w:hAnsi="Times New Roman" w:cs="Times New Roman"/>
              </w:rPr>
              <w:t>Remael</w:t>
            </w:r>
            <w:proofErr w:type="spellEnd"/>
            <w:r w:rsidRPr="00D74564">
              <w:rPr>
                <w:rFonts w:ascii="Times New Roman" w:hAnsi="Times New Roman" w:cs="Times New Roman"/>
              </w:rPr>
              <w:t xml:space="preserve">. </w:t>
            </w:r>
            <w:r w:rsidRPr="00D74564">
              <w:rPr>
                <w:rFonts w:ascii="Times New Roman" w:hAnsi="Times New Roman" w:cs="Times New Roman"/>
                <w:i/>
              </w:rPr>
              <w:t>Subtitling. Concepts and practices</w:t>
            </w:r>
            <w:r w:rsidRPr="00D74564">
              <w:rPr>
                <w:rFonts w:ascii="Times New Roman" w:hAnsi="Times New Roman" w:cs="Times New Roman"/>
              </w:rPr>
              <w:t>. London: Routledge, 2021.</w:t>
            </w: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Fonts w:ascii="Times New Roman" w:hAnsi="Times New Roman" w:cs="Times New Roman"/>
              </w:rPr>
            </w:pPr>
            <w:r w:rsidRPr="00D74564">
              <w:rPr>
                <w:rFonts w:ascii="Times New Roman" w:hAnsi="Times New Roman" w:cs="Times New Roman"/>
              </w:rPr>
              <w:t xml:space="preserve">Dwyer, Tessa. </w:t>
            </w:r>
            <w:r w:rsidRPr="00D74564">
              <w:rPr>
                <w:rFonts w:ascii="Times New Roman" w:hAnsi="Times New Roman" w:cs="Times New Roman"/>
                <w:i/>
              </w:rPr>
              <w:t>Speaking in Subtitles. Revaluing Screen Translation</w:t>
            </w:r>
            <w:r w:rsidRPr="00D74564">
              <w:rPr>
                <w:rFonts w:ascii="Times New Roman" w:hAnsi="Times New Roman" w:cs="Times New Roman"/>
              </w:rPr>
              <w:t>. Edinburgh: Edinburgh UP, 2018.</w:t>
            </w:r>
          </w:p>
          <w:p w:rsidR="00577AB6" w:rsidRPr="00D74564" w:rsidRDefault="00577AB6" w:rsidP="00D74564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lang w:val="ro-RO"/>
              </w:rPr>
            </w:pPr>
            <w:r w:rsidRPr="00D74564">
              <w:rPr>
                <w:rFonts w:ascii="Times New Roman" w:eastAsia="Times New Roman" w:hAnsi="Times New Roman" w:cs="Times New Roman"/>
                <w:lang w:val="ro-RO"/>
              </w:rPr>
              <w:t xml:space="preserve">Ford Williams, </w:t>
            </w:r>
            <w:proofErr w:type="spellStart"/>
            <w:r w:rsidRPr="00D74564">
              <w:rPr>
                <w:rFonts w:ascii="Times New Roman" w:eastAsia="Times New Roman" w:hAnsi="Times New Roman" w:cs="Times New Roman"/>
                <w:lang w:val="ro-RO"/>
              </w:rPr>
              <w:t>Gareth</w:t>
            </w:r>
            <w:proofErr w:type="spellEnd"/>
            <w:r w:rsidRPr="00D74564"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r w:rsidRPr="00D74564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BBC Online </w:t>
            </w:r>
            <w:proofErr w:type="spellStart"/>
            <w:r w:rsidRPr="00D74564">
              <w:rPr>
                <w:rFonts w:ascii="Times New Roman" w:eastAsia="Times New Roman" w:hAnsi="Times New Roman" w:cs="Times New Roman"/>
                <w:i/>
                <w:lang w:val="ro-RO"/>
              </w:rPr>
              <w:t>Subtitling</w:t>
            </w:r>
            <w:proofErr w:type="spellEnd"/>
            <w:r w:rsidRPr="00D74564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Editorial GuidelinesV1.1</w:t>
            </w:r>
            <w:r w:rsidRPr="00D74564">
              <w:rPr>
                <w:rFonts w:ascii="Times New Roman" w:eastAsia="Times New Roman" w:hAnsi="Times New Roman" w:cs="Times New Roman"/>
                <w:lang w:val="ro-RO"/>
              </w:rPr>
              <w:t>, 2009.</w:t>
            </w:r>
          </w:p>
          <w:p w:rsidR="004E18B9" w:rsidRPr="00D74564" w:rsidRDefault="004E18B9" w:rsidP="00D74564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lang w:val="ro-RO"/>
              </w:rPr>
            </w:pPr>
            <w:r w:rsidRPr="00D74564">
              <w:rPr>
                <w:rFonts w:ascii="Times New Roman" w:eastAsia="Times New Roman" w:hAnsi="Times New Roman" w:cs="Times New Roman"/>
                <w:lang w:val="ro-RO"/>
              </w:rPr>
              <w:t xml:space="preserve">Goddard, Angela. </w:t>
            </w:r>
            <w:r w:rsidRPr="00D74564">
              <w:rPr>
                <w:rFonts w:ascii="Times New Roman" w:eastAsia="Times New Roman" w:hAnsi="Times New Roman" w:cs="Times New Roman"/>
                <w:i/>
                <w:lang w:val="ro-RO"/>
              </w:rPr>
              <w:t>Limbajul publicităţii</w:t>
            </w:r>
            <w:r w:rsidRPr="00D74564">
              <w:rPr>
                <w:rFonts w:ascii="Times New Roman" w:eastAsia="Times New Roman" w:hAnsi="Times New Roman" w:cs="Times New Roman"/>
                <w:lang w:val="ro-RO"/>
              </w:rPr>
              <w:t>. Editura Teora, București, 2002.</w:t>
            </w:r>
          </w:p>
          <w:p w:rsidR="0026593A" w:rsidRDefault="0026593A" w:rsidP="00D74564">
            <w:pPr>
              <w:spacing w:after="0" w:line="240" w:lineRule="auto"/>
              <w:ind w:left="3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B7BA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Imre, Attila. </w:t>
            </w:r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An </w:t>
            </w:r>
            <w:proofErr w:type="spellStart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introduction</w:t>
            </w:r>
            <w:proofErr w:type="spellEnd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to</w:t>
            </w:r>
            <w:proofErr w:type="spellEnd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translator</w:t>
            </w:r>
            <w:proofErr w:type="spellEnd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B7BA9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studies</w:t>
            </w:r>
            <w:proofErr w:type="spellEnd"/>
            <w:r w:rsidRPr="004B7BA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4B7BA9">
              <w:rPr>
                <w:rFonts w:ascii="Times New Roman" w:hAnsi="Times New Roman"/>
                <w:sz w:val="24"/>
                <w:szCs w:val="24"/>
                <w:lang w:val="hu-HU"/>
              </w:rPr>
              <w:t>Bra</w:t>
            </w:r>
            <w:r w:rsidRPr="004B7BA9">
              <w:rPr>
                <w:rFonts w:ascii="Times New Roman" w:hAnsi="Times New Roman"/>
                <w:sz w:val="24"/>
                <w:szCs w:val="24"/>
                <w:lang w:val="ro-RO"/>
              </w:rPr>
              <w:t>șov</w:t>
            </w:r>
            <w:proofErr w:type="spellEnd"/>
            <w:r w:rsidRPr="004B7BA9">
              <w:rPr>
                <w:rFonts w:ascii="Times New Roman" w:hAnsi="Times New Roman"/>
                <w:sz w:val="24"/>
                <w:szCs w:val="24"/>
                <w:lang w:val="ro-RO"/>
              </w:rPr>
              <w:t>: Universitatea Transilvania din Brașov, 2020</w:t>
            </w:r>
          </w:p>
          <w:p w:rsidR="00C76B6E" w:rsidRPr="00D74564" w:rsidRDefault="00C76B6E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Klaudy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Kinga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 xml:space="preserve">.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Nyelv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és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fordítás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: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válogatott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fordítástudományi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tanulmányok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 xml:space="preserve">. Budapest: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Tinta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, 2007.</w:t>
            </w:r>
          </w:p>
          <w:p w:rsidR="00D74564" w:rsidRPr="00D74564" w:rsidRDefault="00577AB6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Perego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Elisa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(ed.).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Eyetracking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in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audiovisualtranslation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. ARACNE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editriceS.r.l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2012.</w:t>
            </w: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lang w:val="ro-RO"/>
              </w:rPr>
            </w:pPr>
            <w:r w:rsidRPr="00D74564">
              <w:rPr>
                <w:rFonts w:ascii="Times New Roman" w:hAnsi="Times New Roman" w:cs="Times New Roman"/>
              </w:rPr>
              <w:t xml:space="preserve">Pérez Gonzalez Luis. </w:t>
            </w:r>
            <w:r w:rsidRPr="00D74564">
              <w:rPr>
                <w:rFonts w:ascii="Times New Roman" w:hAnsi="Times New Roman" w:cs="Times New Roman"/>
                <w:i/>
              </w:rPr>
              <w:t>Audiovisual translation: theories, methods and issues</w:t>
            </w:r>
            <w:r w:rsidRPr="00D74564">
              <w:rPr>
                <w:rFonts w:ascii="Times New Roman" w:hAnsi="Times New Roman" w:cs="Times New Roman"/>
              </w:rPr>
              <w:t>. London: Routledge, 2014.</w:t>
            </w: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lang w:val="ro-RO"/>
              </w:rPr>
            </w:pPr>
            <w:r w:rsidRPr="00D74564">
              <w:rPr>
                <w:rFonts w:ascii="Times New Roman" w:hAnsi="Times New Roman" w:cs="Times New Roman"/>
              </w:rPr>
              <w:t xml:space="preserve">Pérez Gonzalez Luis. </w:t>
            </w:r>
            <w:r w:rsidRPr="00D74564">
              <w:rPr>
                <w:rFonts w:ascii="Times New Roman" w:hAnsi="Times New Roman" w:cs="Times New Roman"/>
                <w:i/>
              </w:rPr>
              <w:t>The Routledge Handbook of Audiovisual Translation.</w:t>
            </w:r>
            <w:r w:rsidRPr="00D74564">
              <w:rPr>
                <w:rFonts w:ascii="Times New Roman" w:hAnsi="Times New Roman" w:cs="Times New Roman"/>
              </w:rPr>
              <w:t xml:space="preserve"> London: Routledge, 2019.</w:t>
            </w:r>
          </w:p>
          <w:p w:rsidR="00D74564" w:rsidRPr="00D74564" w:rsidRDefault="00D74564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Fonts w:ascii="Times New Roman" w:hAnsi="Times New Roman" w:cs="Times New Roman"/>
                <w:lang w:val="hu-HU"/>
              </w:rPr>
              <w:t>Rothwell</w:t>
            </w:r>
            <w:proofErr w:type="spellEnd"/>
            <w:r w:rsidRPr="00D74564">
              <w:rPr>
                <w:rFonts w:ascii="Times New Roman" w:hAnsi="Times New Roman" w:cs="Times New Roman"/>
                <w:lang w:val="hu-HU"/>
              </w:rPr>
              <w:t xml:space="preserve">, Andrew et </w:t>
            </w:r>
            <w:proofErr w:type="spellStart"/>
            <w:r w:rsidRPr="00D74564">
              <w:rPr>
                <w:rFonts w:ascii="Times New Roman" w:hAnsi="Times New Roman" w:cs="Times New Roman"/>
                <w:lang w:val="hu-HU"/>
              </w:rPr>
              <w:t>all</w:t>
            </w:r>
            <w:proofErr w:type="spellEnd"/>
            <w:r w:rsidRPr="00D74564">
              <w:rPr>
                <w:rFonts w:ascii="Times New Roman" w:hAnsi="Times New Roman" w:cs="Times New Roman"/>
                <w:lang w:val="hu-HU"/>
              </w:rPr>
              <w:t xml:space="preserve">. </w:t>
            </w:r>
            <w:proofErr w:type="spellStart"/>
            <w:r w:rsidRPr="00D74564">
              <w:rPr>
                <w:rFonts w:ascii="Times New Roman" w:hAnsi="Times New Roman" w:cs="Times New Roman"/>
                <w:i/>
                <w:lang w:val="hu-HU"/>
              </w:rPr>
              <w:t>Translation</w:t>
            </w:r>
            <w:proofErr w:type="spellEnd"/>
            <w:r w:rsidRPr="00D74564">
              <w:rPr>
                <w:rFonts w:ascii="Times New Roman" w:hAnsi="Times New Roman" w:cs="Times New Roman"/>
                <w:i/>
                <w:lang w:val="hu-HU"/>
              </w:rPr>
              <w:t xml:space="preserve"> </w:t>
            </w:r>
            <w:proofErr w:type="spellStart"/>
            <w:r w:rsidRPr="00D74564">
              <w:rPr>
                <w:rFonts w:ascii="Times New Roman" w:hAnsi="Times New Roman" w:cs="Times New Roman"/>
                <w:i/>
                <w:lang w:val="hu-HU"/>
              </w:rPr>
              <w:t>Tools</w:t>
            </w:r>
            <w:proofErr w:type="spellEnd"/>
            <w:r w:rsidRPr="00D74564">
              <w:rPr>
                <w:rFonts w:ascii="Times New Roman" w:hAnsi="Times New Roman" w:cs="Times New Roman"/>
                <w:i/>
                <w:lang w:val="hu-HU"/>
              </w:rPr>
              <w:t xml:space="preserve"> and Technologies</w:t>
            </w:r>
            <w:r w:rsidRPr="00D74564">
              <w:rPr>
                <w:rFonts w:ascii="Times New Roman" w:hAnsi="Times New Roman" w:cs="Times New Roman"/>
                <w:lang w:val="hu-HU"/>
              </w:rPr>
              <w:t xml:space="preserve">. </w:t>
            </w:r>
            <w:r w:rsidRPr="00D74564">
              <w:rPr>
                <w:rFonts w:ascii="Times New Roman" w:hAnsi="Times New Roman" w:cs="Times New Roman"/>
              </w:rPr>
              <w:t>London: Routledge, 2023.</w:t>
            </w:r>
          </w:p>
          <w:p w:rsidR="004E18B9" w:rsidRPr="00D74564" w:rsidRDefault="004E18B9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Stăncioiu, Aurelia Felicia. </w:t>
            </w:r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Dicţionar de terminologie turistică</w:t>
            </w:r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Editura Economică, București, 1999.</w:t>
            </w:r>
          </w:p>
          <w:p w:rsidR="004E18B9" w:rsidRPr="00D74564" w:rsidRDefault="004E18B9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Várnai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, Judit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Szilvia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Official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terminology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of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the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European Union: English -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Hungarian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-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French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- German: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based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of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the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database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compiled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by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the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Translation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Coordination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Unit of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the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Hungarian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Ministry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of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Justice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Szak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K. MorphoLogic, Budapest, 2004.</w:t>
            </w:r>
          </w:p>
          <w:p w:rsidR="00AF4E2D" w:rsidRPr="00D74564" w:rsidRDefault="00AF4E2D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Venuti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 xml:space="preserve">, Lawrence. </w:t>
            </w:r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The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translation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>studies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i/>
                <w:lang w:val="ro-RO"/>
              </w:rPr>
              <w:t xml:space="preserve"> reader</w:t>
            </w:r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 xml:space="preserve">. London: </w:t>
            </w:r>
            <w:proofErr w:type="spellStart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Routledge</w:t>
            </w:r>
            <w:proofErr w:type="spellEnd"/>
            <w:r w:rsidRPr="00D74564">
              <w:rPr>
                <w:rStyle w:val="keyvalue"/>
                <w:rFonts w:ascii="Times New Roman" w:hAnsi="Times New Roman" w:cs="Times New Roman"/>
                <w:lang w:val="ro-RO"/>
              </w:rPr>
              <w:t>, 2012.</w:t>
            </w:r>
          </w:p>
          <w:p w:rsidR="004E18B9" w:rsidRPr="00D74564" w:rsidRDefault="004E18B9" w:rsidP="00D74564">
            <w:pPr>
              <w:spacing w:after="0" w:line="240" w:lineRule="auto"/>
              <w:ind w:left="357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Veszelszki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, Ágnes,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Lengyel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Klára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Tudomány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technolektus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terminológia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: a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tudományok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szakmák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nyelve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.</w:t>
            </w:r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Éghajlat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Kvk</w:t>
            </w:r>
            <w:proofErr w:type="spellEnd"/>
            <w:r w:rsidRPr="00D74564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Budapest, 2014.</w:t>
            </w:r>
          </w:p>
          <w:p w:rsidR="00C76B6E" w:rsidRPr="009D4EB4" w:rsidRDefault="00C76B6E" w:rsidP="00B32A1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76B6E" w:rsidRPr="009D4EB4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9D4EB4">
              <w:rPr>
                <w:b/>
                <w:bCs/>
                <w:sz w:val="23"/>
                <w:szCs w:val="23"/>
                <w:lang w:val="ro-RO"/>
              </w:rPr>
              <w:t>Periodice:</w:t>
            </w:r>
          </w:p>
          <w:p w:rsidR="00C76B6E" w:rsidRPr="009D4EB4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9D4EB4">
              <w:rPr>
                <w:bCs/>
                <w:i/>
                <w:sz w:val="23"/>
                <w:szCs w:val="23"/>
                <w:lang w:val="ro-RO"/>
              </w:rPr>
              <w:t>Fordítástudomány</w:t>
            </w:r>
            <w:proofErr w:type="spellEnd"/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. </w:t>
            </w:r>
            <w:hyperlink r:id="rId7" w:history="1">
              <w:r w:rsidRPr="009D4EB4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http://www.elteftt.hu/hu/forditastudomany-tartalomjegyzek</w:t>
              </w:r>
            </w:hyperlink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r w:rsidR="006E1569" w:rsidRPr="009D4EB4">
              <w:rPr>
                <w:bCs/>
                <w:i/>
                <w:sz w:val="23"/>
                <w:szCs w:val="23"/>
                <w:lang w:val="ro-RO"/>
              </w:rPr>
              <w:t xml:space="preserve"> sau </w:t>
            </w:r>
            <w:hyperlink r:id="rId8" w:history="1">
              <w:r w:rsidR="006E1569" w:rsidRPr="009D4EB4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http://alknyelvport.nytud.hu/kiadvanyok/forditastudomany/</w:t>
              </w:r>
            </w:hyperlink>
            <w:r w:rsidR="006E1569" w:rsidRPr="009D4EB4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bCs/>
                <w:i/>
                <w:sz w:val="23"/>
                <w:szCs w:val="23"/>
                <w:lang w:val="ro-RO"/>
              </w:rPr>
            </w:pPr>
            <w:proofErr w:type="spellStart"/>
            <w:r w:rsidRPr="009D4EB4">
              <w:rPr>
                <w:bCs/>
                <w:i/>
                <w:sz w:val="23"/>
                <w:szCs w:val="23"/>
                <w:lang w:val="ro-RO"/>
              </w:rPr>
              <w:t>Translation</w:t>
            </w:r>
            <w:proofErr w:type="spellEnd"/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 Journal. </w:t>
            </w:r>
            <w:hyperlink r:id="rId9" w:history="1">
              <w:r w:rsidRPr="009D4EB4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https://www.translationjournal.net/</w:t>
              </w:r>
            </w:hyperlink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4E18B9" w:rsidRPr="009D4EB4" w:rsidRDefault="004E18B9" w:rsidP="0070047B">
            <w:pPr>
              <w:pStyle w:val="Default"/>
              <w:numPr>
                <w:ilvl w:val="0"/>
                <w:numId w:val="2"/>
              </w:numPr>
              <w:rPr>
                <w:bCs/>
                <w:i/>
                <w:sz w:val="23"/>
                <w:szCs w:val="23"/>
                <w:lang w:val="ro-RO"/>
              </w:rPr>
            </w:pPr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Special </w:t>
            </w:r>
            <w:proofErr w:type="spellStart"/>
            <w:r w:rsidRPr="009D4EB4">
              <w:rPr>
                <w:bCs/>
                <w:i/>
                <w:sz w:val="23"/>
                <w:szCs w:val="23"/>
                <w:lang w:val="ro-RO"/>
              </w:rPr>
              <w:t>Language</w:t>
            </w:r>
            <w:proofErr w:type="spellEnd"/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hyperlink r:id="rId10" w:history="1">
              <w:r w:rsidRPr="009D4EB4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http://changingminds.org/techniques/conversion/special_language.htm</w:t>
              </w:r>
            </w:hyperlink>
            <w:r w:rsidRPr="009D4EB4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Pr="009D4EB4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9D4EB4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9D4EB4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C76B6E" w:rsidRPr="009D4EB4" w:rsidRDefault="00C76B6E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MemoQ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Training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Videos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, </w:t>
            </w:r>
            <w:r w:rsidRPr="009D4EB4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r w:rsidRPr="009D4EB4">
              <w:rPr>
                <w:sz w:val="22"/>
                <w:szCs w:val="22"/>
                <w:lang w:val="ro-RO"/>
              </w:rPr>
              <w:t xml:space="preserve">http://kilgray.com/products/memoq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r w:rsidRPr="009D4EB4">
              <w:rPr>
                <w:sz w:val="22"/>
                <w:szCs w:val="22"/>
                <w:lang w:val="ro-RO"/>
              </w:rPr>
              <w:t xml:space="preserve">http://kilgray.com/resource-center/training-videos/getting-around-memoq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r w:rsidRPr="009D4EB4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9D4EB4" w:rsidRDefault="00C76B6E" w:rsidP="007004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9D4EB4">
              <w:rPr>
                <w:rFonts w:ascii="Times New Roman" w:hAnsi="Times New Roman" w:cs="Times New Roman"/>
                <w:lang w:val="ro-RO"/>
              </w:rPr>
              <w:t xml:space="preserve">http://kilgray.com/resource-center/training-videos/central-resource-management-memoq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9D4EB4">
              <w:rPr>
                <w:sz w:val="22"/>
                <w:szCs w:val="22"/>
                <w:lang w:val="ro-RO"/>
              </w:rPr>
              <w:t>Dróth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, J. (ed.).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Szaknyelv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szakfordítás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. http://www.kjf.hu/manye/szakford_2008.pdf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  <w:lang w:val="ro-RO"/>
              </w:rPr>
            </w:pPr>
            <w:proofErr w:type="spellStart"/>
            <w:r w:rsidRPr="009D4EB4">
              <w:rPr>
                <w:sz w:val="22"/>
                <w:szCs w:val="22"/>
                <w:lang w:val="ro-RO"/>
              </w:rPr>
              <w:t>Fazakas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, E.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Teret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hódító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igekötőink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és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nyelvművelés</w:t>
            </w:r>
            <w:proofErr w:type="spellEnd"/>
            <w:r w:rsidRPr="009D4EB4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</w:p>
          <w:p w:rsidR="00C76B6E" w:rsidRPr="009D4EB4" w:rsidRDefault="00C76B6E" w:rsidP="007004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9D4EB4">
              <w:rPr>
                <w:rFonts w:ascii="Times New Roman" w:hAnsi="Times New Roman" w:cs="Times New Roman"/>
                <w:lang w:val="ro-RO"/>
              </w:rPr>
              <w:t xml:space="preserve">http://www.nyeomszsz.org/orszavak/pdf/FazakasEmeseige.pdf </w:t>
            </w:r>
          </w:p>
          <w:p w:rsidR="00C76B6E" w:rsidRPr="009D4EB4" w:rsidRDefault="00C76B6E" w:rsidP="0070047B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  <w:lang w:val="ro-RO"/>
              </w:rPr>
            </w:pPr>
            <w:proofErr w:type="spellStart"/>
            <w:r w:rsidRPr="009D4EB4">
              <w:rPr>
                <w:sz w:val="22"/>
                <w:szCs w:val="22"/>
                <w:lang w:val="ro-RO"/>
              </w:rPr>
              <w:t>Zimányi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, Á. (2001). </w:t>
            </w:r>
            <w:proofErr w:type="spellStart"/>
            <w:r w:rsidRPr="009D4EB4">
              <w:rPr>
                <w:i/>
                <w:iCs/>
                <w:sz w:val="22"/>
                <w:szCs w:val="22"/>
                <w:lang w:val="ro-RO"/>
              </w:rPr>
              <w:t>Nyelvhelyesség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9D4EB4">
              <w:rPr>
                <w:sz w:val="22"/>
                <w:szCs w:val="22"/>
                <w:lang w:val="ro-RO"/>
              </w:rPr>
              <w:t>Eger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: EKF </w:t>
            </w:r>
            <w:proofErr w:type="spellStart"/>
            <w:r w:rsidRPr="009D4EB4">
              <w:rPr>
                <w:sz w:val="22"/>
                <w:szCs w:val="22"/>
                <w:lang w:val="ro-RO"/>
              </w:rPr>
              <w:t>Líceum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4EB4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9D4EB4">
              <w:rPr>
                <w:sz w:val="22"/>
                <w:szCs w:val="22"/>
                <w:lang w:val="ro-RO"/>
              </w:rPr>
              <w:t>. http://www.nyeomszsz.org/orszavak/pdf/Zimanyiszokapcsolatok.pdf</w:t>
            </w:r>
            <w:r w:rsidRPr="009D4EB4">
              <w:rPr>
                <w:sz w:val="23"/>
                <w:szCs w:val="23"/>
                <w:lang w:val="ro-RO"/>
              </w:rPr>
              <w:t xml:space="preserve"> 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9D4E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9D4E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9D4EB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9D4EB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9D4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9D4EB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9D4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9D4E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9D4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9D4EB4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9D4EB4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0291" w:type="dxa"/>
        <w:tblInd w:w="250" w:type="dxa"/>
        <w:tblLook w:val="04A0" w:firstRow="1" w:lastRow="0" w:firstColumn="1" w:lastColumn="0" w:noHBand="0" w:noVBand="1"/>
      </w:tblPr>
      <w:tblGrid>
        <w:gridCol w:w="10291"/>
      </w:tblGrid>
      <w:tr w:rsidR="006C46D0" w:rsidRPr="009D4EB4" w:rsidTr="00474B60">
        <w:tc>
          <w:tcPr>
            <w:tcW w:w="10291" w:type="dxa"/>
          </w:tcPr>
          <w:p w:rsidR="006C46D0" w:rsidRPr="009D4EB4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9D4EB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9D4EB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9D4EB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9D4EB4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9D4EB4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9D4E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9D4E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D4EB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682"/>
      </w:tblGrid>
      <w:tr w:rsidR="002D594D" w:rsidRPr="009D4EB4" w:rsidTr="00474B60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9D4EB4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9D4EB4" w:rsidTr="00474B60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10.4.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887BB6" w:rsidP="0070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9D4EB4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9D4EB4" w:rsidRDefault="00887BB6" w:rsidP="0070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9D4EB4" w:rsidRDefault="00887BB6" w:rsidP="0070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9D4EB4" w:rsidRDefault="00887BB6" w:rsidP="0070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9D4E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2D594D" w:rsidRPr="009D4EB4" w:rsidRDefault="00887BB6" w:rsidP="0070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D4E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9D4EB4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9D4EB4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9D4EB4" w:rsidRDefault="00AA524D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  <w:r w:rsidR="00F57768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AA524D" w:rsidRPr="009D4EB4" w:rsidTr="00474B60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24D" w:rsidRPr="009D4EB4" w:rsidRDefault="00AA524D" w:rsidP="00AA524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24D" w:rsidRPr="009D4EB4" w:rsidRDefault="00AA524D" w:rsidP="00AA524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capacitatea de a opera cu cunoștinţele asimilate;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24D" w:rsidRPr="009D4EB4" w:rsidRDefault="00AA524D" w:rsidP="00AA5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Teste, proiecte individuale/de echipă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24D" w:rsidRPr="009D4EB4" w:rsidRDefault="00AA524D" w:rsidP="00AA5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9D4EB4" w:rsidTr="00474B60">
        <w:trPr>
          <w:trHeight w:hRule="exact" w:val="3326"/>
        </w:trPr>
        <w:tc>
          <w:tcPr>
            <w:tcW w:w="10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9D4EB4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9D4E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9D4E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9D4E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9D4EB4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9D4EB4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9D4EB4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9D4EB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9D4EB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9D4EB4">
              <w:rPr>
                <w:lang w:val="ro-RO"/>
              </w:rPr>
              <w:t xml:space="preserve"> </w:t>
            </w:r>
          </w:p>
          <w:p w:rsidR="002224B2" w:rsidRPr="009D4EB4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F724E2" w:rsidRPr="009D4EB4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9D4EB4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283"/>
        <w:gridCol w:w="7802"/>
      </w:tblGrid>
      <w:tr w:rsidR="009D302D" w:rsidRPr="008E0582" w:rsidTr="00F23850">
        <w:trPr>
          <w:trHeight w:hRule="exact" w:val="698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F23850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lang w:val="ro-RO"/>
              </w:rPr>
            </w:pPr>
            <w:r w:rsidRPr="008E0582">
              <w:rPr>
                <w:rFonts w:ascii="Times New Roman" w:hAnsi="Times New Roman" w:cs="Times New Roman"/>
                <w:lang w:val="ro-RO"/>
              </w:rPr>
              <w:t>D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 w:rsidRPr="008E0582">
              <w:rPr>
                <w:rFonts w:ascii="Times New Roman" w:hAnsi="Times New Roman" w:cs="Times New Roman"/>
                <w:lang w:val="ro-RO"/>
              </w:rPr>
              <w:t xml:space="preserve">ta 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c</w:t>
            </w:r>
            <w:r w:rsidRPr="008E0582">
              <w:rPr>
                <w:rFonts w:ascii="Times New Roman" w:hAnsi="Times New Roman" w:cs="Times New Roman"/>
                <w:lang w:val="ro-RO"/>
              </w:rPr>
              <w:t>omp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l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 w:rsidRPr="008E0582">
              <w:rPr>
                <w:rFonts w:ascii="Times New Roman" w:hAnsi="Times New Roman" w:cs="Times New Roman"/>
                <w:lang w:val="ro-RO"/>
              </w:rPr>
              <w:t>t</w:t>
            </w:r>
            <w:r w:rsidRPr="008E0582">
              <w:rPr>
                <w:rFonts w:ascii="Times New Roman" w:hAnsi="Times New Roman" w:cs="Times New Roman"/>
                <w:spacing w:val="2"/>
                <w:lang w:val="ro-RO"/>
              </w:rPr>
              <w:t>ă</w:t>
            </w:r>
            <w:r w:rsidRPr="008E0582">
              <w:rPr>
                <w:rFonts w:ascii="Times New Roman" w:hAnsi="Times New Roman" w:cs="Times New Roman"/>
                <w:lang w:val="ro-RO"/>
              </w:rPr>
              <w:t>rii</w:t>
            </w:r>
          </w:p>
        </w:tc>
        <w:tc>
          <w:tcPr>
            <w:tcW w:w="7802" w:type="dxa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F23850">
            <w:pPr>
              <w:spacing w:before="69" w:after="0" w:line="240" w:lineRule="auto"/>
              <w:ind w:right="-20"/>
              <w:rPr>
                <w:rFonts w:ascii="Times New Roman" w:hAnsi="Times New Roman" w:cs="Times New Roman"/>
              </w:rPr>
            </w:pP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S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 w:rsidRPr="008E0582">
              <w:rPr>
                <w:rFonts w:ascii="Times New Roman" w:hAnsi="Times New Roman" w:cs="Times New Roman"/>
                <w:lang w:val="ro-RO"/>
              </w:rPr>
              <w:t>mnătu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r</w:t>
            </w:r>
            <w:r w:rsidRPr="008E0582">
              <w:rPr>
                <w:rFonts w:ascii="Times New Roman" w:hAnsi="Times New Roman" w:cs="Times New Roman"/>
                <w:lang w:val="ro-RO"/>
              </w:rPr>
              <w:t>a t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 w:rsidRPr="008E0582">
              <w:rPr>
                <w:rFonts w:ascii="Times New Roman" w:hAnsi="Times New Roman" w:cs="Times New Roman"/>
                <w:lang w:val="ro-RO"/>
              </w:rPr>
              <w:t>tu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l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 w:rsidRPr="008E0582">
              <w:rPr>
                <w:rFonts w:ascii="Times New Roman" w:hAnsi="Times New Roman" w:cs="Times New Roman"/>
                <w:lang w:val="ro-RO"/>
              </w:rPr>
              <w:t xml:space="preserve">rului de curs        </w:t>
            </w:r>
            <w:r>
              <w:rPr>
                <w:rFonts w:ascii="Times New Roman" w:hAnsi="Times New Roman" w:cs="Times New Roman"/>
                <w:lang w:val="ro-RO"/>
              </w:rPr>
              <w:t xml:space="preserve">                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S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 w:rsidRPr="008E0582">
              <w:rPr>
                <w:rFonts w:ascii="Times New Roman" w:hAnsi="Times New Roman" w:cs="Times New Roman"/>
                <w:lang w:val="ro-RO"/>
              </w:rPr>
              <w:t>mnătu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r</w:t>
            </w:r>
            <w:r w:rsidRPr="008E0582">
              <w:rPr>
                <w:rFonts w:ascii="Times New Roman" w:hAnsi="Times New Roman" w:cs="Times New Roman"/>
                <w:lang w:val="ro-RO"/>
              </w:rPr>
              <w:t>a t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 w:rsidRPr="008E0582">
              <w:rPr>
                <w:rFonts w:ascii="Times New Roman" w:hAnsi="Times New Roman" w:cs="Times New Roman"/>
                <w:lang w:val="ro-RO"/>
              </w:rPr>
              <w:t>tu</w:t>
            </w:r>
            <w:r w:rsidRPr="008E0582">
              <w:rPr>
                <w:rFonts w:ascii="Times New Roman" w:hAnsi="Times New Roman" w:cs="Times New Roman"/>
                <w:spacing w:val="1"/>
                <w:lang w:val="ro-RO"/>
              </w:rPr>
              <w:t>l</w:t>
            </w:r>
            <w:r w:rsidRPr="008E0582"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 w:rsidRPr="008E0582">
              <w:rPr>
                <w:rFonts w:ascii="Times New Roman" w:hAnsi="Times New Roman" w:cs="Times New Roman"/>
                <w:lang w:val="ro-RO"/>
              </w:rPr>
              <w:t>rului de seminar</w:t>
            </w:r>
          </w:p>
        </w:tc>
      </w:tr>
      <w:tr w:rsidR="009D302D" w:rsidRPr="008E0582" w:rsidTr="00F23850">
        <w:trPr>
          <w:trHeight w:hRule="exact" w:val="1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F23850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F23850">
            <w:pPr>
              <w:spacing w:before="69" w:after="0" w:line="240" w:lineRule="auto"/>
              <w:ind w:right="-20"/>
              <w:rPr>
                <w:rFonts w:ascii="Times New Roman" w:hAnsi="Times New Roman" w:cs="Times New Roman"/>
                <w:spacing w:val="1"/>
                <w:lang w:val="ro-RO"/>
              </w:rPr>
            </w:pPr>
          </w:p>
        </w:tc>
      </w:tr>
      <w:tr w:rsidR="009D302D" w:rsidRPr="008E0582" w:rsidTr="00F23850">
        <w:trPr>
          <w:trHeight w:hRule="exact" w:val="12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F23850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02D" w:rsidRPr="008E0582" w:rsidRDefault="009D302D" w:rsidP="009D302D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Conf. Univ. Dr.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                               Conf. Univ. Dr.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Bökös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Borbála</w:t>
            </w:r>
            <w:proofErr w:type="spellEnd"/>
          </w:p>
        </w:tc>
      </w:tr>
    </w:tbl>
    <w:p w:rsidR="009D302D" w:rsidRPr="008E0582" w:rsidRDefault="009D302D" w:rsidP="009D302D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lang w:val="ro-RO"/>
        </w:rPr>
      </w:pPr>
      <w:r w:rsidRPr="008E0582">
        <w:rPr>
          <w:rFonts w:ascii="Times New Roman" w:hAnsi="Times New Roman" w:cs="Times New Roman"/>
          <w:lang w:val="ro-RO"/>
        </w:rPr>
        <w:t>D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lang w:val="ro-RO"/>
        </w:rPr>
        <w:t xml:space="preserve">ta 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lang w:val="ro-RO"/>
        </w:rPr>
        <w:t>vi</w:t>
      </w:r>
      <w:r w:rsidRPr="008E0582">
        <w:rPr>
          <w:rFonts w:ascii="Times New Roman" w:hAnsi="Times New Roman" w:cs="Times New Roman"/>
          <w:spacing w:val="2"/>
          <w:lang w:val="ro-RO"/>
        </w:rPr>
        <w:t>z</w:t>
      </w:r>
      <w:r w:rsidRPr="008E0582">
        <w:rPr>
          <w:rFonts w:ascii="Times New Roman" w:hAnsi="Times New Roman" w:cs="Times New Roman"/>
          <w:spacing w:val="-1"/>
          <w:lang w:val="ro-RO"/>
        </w:rPr>
        <w:t>ă</w:t>
      </w:r>
      <w:r w:rsidRPr="008E0582">
        <w:rPr>
          <w:rFonts w:ascii="Times New Roman" w:hAnsi="Times New Roman" w:cs="Times New Roman"/>
          <w:lang w:val="ro-RO"/>
        </w:rPr>
        <w:t>rii în d</w:t>
      </w:r>
      <w:r w:rsidRPr="008E0582">
        <w:rPr>
          <w:rFonts w:ascii="Times New Roman" w:hAnsi="Times New Roman" w:cs="Times New Roman"/>
          <w:spacing w:val="-1"/>
          <w:lang w:val="ro-RO"/>
        </w:rPr>
        <w:t>e</w:t>
      </w:r>
      <w:r w:rsidRPr="008E0582">
        <w:rPr>
          <w:rFonts w:ascii="Times New Roman" w:hAnsi="Times New Roman" w:cs="Times New Roman"/>
          <w:lang w:val="ro-RO"/>
        </w:rPr>
        <w:t>p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lang w:val="ro-RO"/>
        </w:rPr>
        <w:t>r</w:t>
      </w:r>
      <w:r w:rsidRPr="008E0582">
        <w:rPr>
          <w:rFonts w:ascii="Times New Roman" w:hAnsi="Times New Roman" w:cs="Times New Roman"/>
          <w:spacing w:val="3"/>
          <w:lang w:val="ro-RO"/>
        </w:rPr>
        <w:t>t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lang w:val="ro-RO"/>
        </w:rPr>
        <w:t>ment</w:t>
      </w:r>
      <w:r w:rsidRPr="008E0582">
        <w:rPr>
          <w:rFonts w:ascii="Times New Roman" w:hAnsi="Times New Roman" w:cs="Times New Roman"/>
          <w:lang w:val="ro-RO"/>
        </w:rPr>
        <w:tab/>
      </w:r>
      <w:r w:rsidRPr="008E0582">
        <w:rPr>
          <w:rFonts w:ascii="Times New Roman" w:hAnsi="Times New Roman" w:cs="Times New Roman"/>
          <w:spacing w:val="1"/>
          <w:lang w:val="ro-RO"/>
        </w:rPr>
        <w:t>S</w:t>
      </w:r>
      <w:r w:rsidRPr="008E0582">
        <w:rPr>
          <w:rFonts w:ascii="Times New Roman" w:hAnsi="Times New Roman" w:cs="Times New Roman"/>
          <w:spacing w:val="-1"/>
          <w:lang w:val="ro-RO"/>
        </w:rPr>
        <w:t>e</w:t>
      </w:r>
      <w:r w:rsidRPr="008E0582">
        <w:rPr>
          <w:rFonts w:ascii="Times New Roman" w:hAnsi="Times New Roman" w:cs="Times New Roman"/>
          <w:lang w:val="ro-RO"/>
        </w:rPr>
        <w:t>mnătu</w:t>
      </w:r>
      <w:r w:rsidRPr="008E0582">
        <w:rPr>
          <w:rFonts w:ascii="Times New Roman" w:hAnsi="Times New Roman" w:cs="Times New Roman"/>
          <w:spacing w:val="-1"/>
          <w:lang w:val="ro-RO"/>
        </w:rPr>
        <w:t>r</w:t>
      </w:r>
      <w:r w:rsidRPr="008E0582">
        <w:rPr>
          <w:rFonts w:ascii="Times New Roman" w:hAnsi="Times New Roman" w:cs="Times New Roman"/>
          <w:lang w:val="ro-RO"/>
        </w:rPr>
        <w:t>a dir</w:t>
      </w:r>
      <w:r w:rsidRPr="008E0582">
        <w:rPr>
          <w:rFonts w:ascii="Times New Roman" w:hAnsi="Times New Roman" w:cs="Times New Roman"/>
          <w:spacing w:val="1"/>
          <w:lang w:val="ro-RO"/>
        </w:rPr>
        <w:t>e</w:t>
      </w:r>
      <w:r w:rsidRPr="008E0582">
        <w:rPr>
          <w:rFonts w:ascii="Times New Roman" w:hAnsi="Times New Roman" w:cs="Times New Roman"/>
          <w:spacing w:val="-1"/>
          <w:lang w:val="ro-RO"/>
        </w:rPr>
        <w:t>c</w:t>
      </w:r>
      <w:r w:rsidRPr="008E0582">
        <w:rPr>
          <w:rFonts w:ascii="Times New Roman" w:hAnsi="Times New Roman" w:cs="Times New Roman"/>
          <w:lang w:val="ro-RO"/>
        </w:rPr>
        <w:t>torului de d</w:t>
      </w:r>
      <w:r w:rsidRPr="008E0582">
        <w:rPr>
          <w:rFonts w:ascii="Times New Roman" w:hAnsi="Times New Roman" w:cs="Times New Roman"/>
          <w:spacing w:val="-1"/>
          <w:lang w:val="ro-RO"/>
        </w:rPr>
        <w:t>e</w:t>
      </w:r>
      <w:r w:rsidRPr="008E0582">
        <w:rPr>
          <w:rFonts w:ascii="Times New Roman" w:hAnsi="Times New Roman" w:cs="Times New Roman"/>
          <w:lang w:val="ro-RO"/>
        </w:rPr>
        <w:t>p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lang w:val="ro-RO"/>
        </w:rPr>
        <w:t>r</w:t>
      </w:r>
      <w:r w:rsidRPr="008E0582">
        <w:rPr>
          <w:rFonts w:ascii="Times New Roman" w:hAnsi="Times New Roman" w:cs="Times New Roman"/>
          <w:spacing w:val="1"/>
          <w:lang w:val="ro-RO"/>
        </w:rPr>
        <w:t>t</w:t>
      </w:r>
      <w:r w:rsidRPr="008E0582">
        <w:rPr>
          <w:rFonts w:ascii="Times New Roman" w:hAnsi="Times New Roman" w:cs="Times New Roman"/>
          <w:spacing w:val="-1"/>
          <w:lang w:val="ro-RO"/>
        </w:rPr>
        <w:t>a</w:t>
      </w:r>
      <w:r w:rsidRPr="008E0582">
        <w:rPr>
          <w:rFonts w:ascii="Times New Roman" w:hAnsi="Times New Roman" w:cs="Times New Roman"/>
          <w:spacing w:val="3"/>
          <w:lang w:val="ro-RO"/>
        </w:rPr>
        <w:t>m</w:t>
      </w:r>
      <w:r w:rsidRPr="008E0582">
        <w:rPr>
          <w:rFonts w:ascii="Times New Roman" w:hAnsi="Times New Roman" w:cs="Times New Roman"/>
          <w:spacing w:val="-1"/>
          <w:lang w:val="ro-RO"/>
        </w:rPr>
        <w:t>e</w:t>
      </w:r>
      <w:r w:rsidRPr="008E0582">
        <w:rPr>
          <w:rFonts w:ascii="Times New Roman" w:hAnsi="Times New Roman" w:cs="Times New Roman"/>
          <w:lang w:val="ro-RO"/>
        </w:rPr>
        <w:t>nt</w:t>
      </w:r>
    </w:p>
    <w:p w:rsidR="009D302D" w:rsidRPr="008E0582" w:rsidRDefault="009D302D" w:rsidP="009D302D">
      <w:pPr>
        <w:spacing w:before="16" w:after="0" w:line="260" w:lineRule="exact"/>
        <w:rPr>
          <w:rFonts w:ascii="Times New Roman" w:hAnsi="Times New Roman" w:cs="Times New Roman"/>
          <w:lang w:val="ro-RO"/>
        </w:rPr>
      </w:pPr>
    </w:p>
    <w:p w:rsidR="009D302D" w:rsidRPr="008E0582" w:rsidRDefault="009D302D" w:rsidP="009D302D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Lect. Univ. dr. </w:t>
      </w:r>
      <w:r>
        <w:rPr>
          <w:rFonts w:ascii="Times New Roman" w:hAnsi="Times New Roman" w:cs="Times New Roman"/>
          <w:lang w:val="hu-HU"/>
        </w:rPr>
        <w:t xml:space="preserve">Antal-Fórizs </w:t>
      </w:r>
      <w:proofErr w:type="spellStart"/>
      <w:r>
        <w:rPr>
          <w:rFonts w:ascii="Times New Roman" w:hAnsi="Times New Roman" w:cs="Times New Roman"/>
          <w:lang w:val="hu-HU"/>
        </w:rPr>
        <w:t>Ioan</w:t>
      </w:r>
      <w:proofErr w:type="spellEnd"/>
      <w:r>
        <w:rPr>
          <w:rFonts w:ascii="Times New Roman" w:hAnsi="Times New Roman" w:cs="Times New Roman"/>
          <w:lang w:val="hu-HU"/>
        </w:rPr>
        <w:t xml:space="preserve"> James</w:t>
      </w:r>
      <w:r w:rsidRPr="008E0582">
        <w:rPr>
          <w:rFonts w:ascii="Times New Roman" w:hAnsi="Times New Roman" w:cs="Times New Roman"/>
          <w:lang w:val="ro-RO"/>
        </w:rPr>
        <w:tab/>
      </w:r>
    </w:p>
    <w:p w:rsidR="006A2222" w:rsidRPr="009D4EB4" w:rsidRDefault="006A2222" w:rsidP="009D3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9D4EB4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925"/>
    <w:multiLevelType w:val="hybridMultilevel"/>
    <w:tmpl w:val="8902A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140CC"/>
    <w:multiLevelType w:val="hybridMultilevel"/>
    <w:tmpl w:val="421A29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A5AF3"/>
    <w:multiLevelType w:val="hybridMultilevel"/>
    <w:tmpl w:val="BA48066E"/>
    <w:lvl w:ilvl="0" w:tplc="D018D21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66B16"/>
    <w:multiLevelType w:val="hybridMultilevel"/>
    <w:tmpl w:val="421A29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257C"/>
    <w:rsid w:val="0002455F"/>
    <w:rsid w:val="000444CC"/>
    <w:rsid w:val="0007731D"/>
    <w:rsid w:val="00082780"/>
    <w:rsid w:val="00086FDD"/>
    <w:rsid w:val="000906D2"/>
    <w:rsid w:val="000A27AF"/>
    <w:rsid w:val="000B3BCC"/>
    <w:rsid w:val="000C2A07"/>
    <w:rsid w:val="000E0672"/>
    <w:rsid w:val="00101A02"/>
    <w:rsid w:val="00113412"/>
    <w:rsid w:val="00143233"/>
    <w:rsid w:val="001514B8"/>
    <w:rsid w:val="00165982"/>
    <w:rsid w:val="001752C0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93A"/>
    <w:rsid w:val="00265F68"/>
    <w:rsid w:val="002666AE"/>
    <w:rsid w:val="00272B09"/>
    <w:rsid w:val="0029326A"/>
    <w:rsid w:val="0029496E"/>
    <w:rsid w:val="002A7C66"/>
    <w:rsid w:val="002C43DC"/>
    <w:rsid w:val="002C4579"/>
    <w:rsid w:val="002D1438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9434A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60F38"/>
    <w:rsid w:val="00466D6C"/>
    <w:rsid w:val="004737D5"/>
    <w:rsid w:val="00474B60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E18B9"/>
    <w:rsid w:val="004F33DE"/>
    <w:rsid w:val="00500FD0"/>
    <w:rsid w:val="005042AB"/>
    <w:rsid w:val="0051659A"/>
    <w:rsid w:val="00533869"/>
    <w:rsid w:val="00534B6A"/>
    <w:rsid w:val="00537F02"/>
    <w:rsid w:val="00560D92"/>
    <w:rsid w:val="00563D9B"/>
    <w:rsid w:val="00574420"/>
    <w:rsid w:val="00577AB6"/>
    <w:rsid w:val="0058540F"/>
    <w:rsid w:val="005919AA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53B7E"/>
    <w:rsid w:val="0066420B"/>
    <w:rsid w:val="006A2222"/>
    <w:rsid w:val="006C46D0"/>
    <w:rsid w:val="006D1B44"/>
    <w:rsid w:val="006D6721"/>
    <w:rsid w:val="006E1569"/>
    <w:rsid w:val="006E3745"/>
    <w:rsid w:val="0070047B"/>
    <w:rsid w:val="00733082"/>
    <w:rsid w:val="00746C55"/>
    <w:rsid w:val="007525BA"/>
    <w:rsid w:val="00761EE2"/>
    <w:rsid w:val="00784A7F"/>
    <w:rsid w:val="0078618A"/>
    <w:rsid w:val="00787954"/>
    <w:rsid w:val="007A06EB"/>
    <w:rsid w:val="007A0E4E"/>
    <w:rsid w:val="007A1432"/>
    <w:rsid w:val="007B037F"/>
    <w:rsid w:val="007C7ED2"/>
    <w:rsid w:val="007D5104"/>
    <w:rsid w:val="007E5A75"/>
    <w:rsid w:val="00806C4E"/>
    <w:rsid w:val="00811B31"/>
    <w:rsid w:val="008200BC"/>
    <w:rsid w:val="008227BA"/>
    <w:rsid w:val="00834308"/>
    <w:rsid w:val="00840A62"/>
    <w:rsid w:val="008512C7"/>
    <w:rsid w:val="00861256"/>
    <w:rsid w:val="008826C7"/>
    <w:rsid w:val="00882D85"/>
    <w:rsid w:val="00887BB6"/>
    <w:rsid w:val="00893092"/>
    <w:rsid w:val="008B1C47"/>
    <w:rsid w:val="008C23EB"/>
    <w:rsid w:val="008D03A1"/>
    <w:rsid w:val="00910C6A"/>
    <w:rsid w:val="0092300D"/>
    <w:rsid w:val="0094542F"/>
    <w:rsid w:val="00962536"/>
    <w:rsid w:val="009657B3"/>
    <w:rsid w:val="00981723"/>
    <w:rsid w:val="00981EBF"/>
    <w:rsid w:val="00985521"/>
    <w:rsid w:val="00987489"/>
    <w:rsid w:val="009C274E"/>
    <w:rsid w:val="009D2FFC"/>
    <w:rsid w:val="009D302D"/>
    <w:rsid w:val="009D3DD1"/>
    <w:rsid w:val="009D4EB4"/>
    <w:rsid w:val="009F02F4"/>
    <w:rsid w:val="00A074AD"/>
    <w:rsid w:val="00A25647"/>
    <w:rsid w:val="00A303B3"/>
    <w:rsid w:val="00A36816"/>
    <w:rsid w:val="00A56CCB"/>
    <w:rsid w:val="00A72159"/>
    <w:rsid w:val="00A74D08"/>
    <w:rsid w:val="00A760A0"/>
    <w:rsid w:val="00A92D03"/>
    <w:rsid w:val="00A94C62"/>
    <w:rsid w:val="00A94D75"/>
    <w:rsid w:val="00AA0854"/>
    <w:rsid w:val="00AA524D"/>
    <w:rsid w:val="00AB0873"/>
    <w:rsid w:val="00AB3730"/>
    <w:rsid w:val="00AB69DD"/>
    <w:rsid w:val="00AC664D"/>
    <w:rsid w:val="00AD398D"/>
    <w:rsid w:val="00AD6415"/>
    <w:rsid w:val="00AE313B"/>
    <w:rsid w:val="00AE7451"/>
    <w:rsid w:val="00AF0E76"/>
    <w:rsid w:val="00AF168E"/>
    <w:rsid w:val="00AF4E2D"/>
    <w:rsid w:val="00AF60AD"/>
    <w:rsid w:val="00B0311E"/>
    <w:rsid w:val="00B05F15"/>
    <w:rsid w:val="00B106BE"/>
    <w:rsid w:val="00B15B87"/>
    <w:rsid w:val="00B32A18"/>
    <w:rsid w:val="00B35FB5"/>
    <w:rsid w:val="00B71AA8"/>
    <w:rsid w:val="00B74CB8"/>
    <w:rsid w:val="00B7691A"/>
    <w:rsid w:val="00B90C5E"/>
    <w:rsid w:val="00B95BFF"/>
    <w:rsid w:val="00BB01CF"/>
    <w:rsid w:val="00BD4F24"/>
    <w:rsid w:val="00BE5B3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97F0B"/>
    <w:rsid w:val="00CA3444"/>
    <w:rsid w:val="00CB14F9"/>
    <w:rsid w:val="00CC2D39"/>
    <w:rsid w:val="00CC7019"/>
    <w:rsid w:val="00CD2BBA"/>
    <w:rsid w:val="00CD3166"/>
    <w:rsid w:val="00CD33DF"/>
    <w:rsid w:val="00CD33EE"/>
    <w:rsid w:val="00CD7E99"/>
    <w:rsid w:val="00CF0576"/>
    <w:rsid w:val="00CF4312"/>
    <w:rsid w:val="00D305AF"/>
    <w:rsid w:val="00D31EBB"/>
    <w:rsid w:val="00D422A2"/>
    <w:rsid w:val="00D63F7F"/>
    <w:rsid w:val="00D70945"/>
    <w:rsid w:val="00D73054"/>
    <w:rsid w:val="00D73072"/>
    <w:rsid w:val="00D74564"/>
    <w:rsid w:val="00D91A1A"/>
    <w:rsid w:val="00DD5305"/>
    <w:rsid w:val="00E03E82"/>
    <w:rsid w:val="00E0408C"/>
    <w:rsid w:val="00E11E35"/>
    <w:rsid w:val="00E158CB"/>
    <w:rsid w:val="00E752DC"/>
    <w:rsid w:val="00E84FD7"/>
    <w:rsid w:val="00EA03E0"/>
    <w:rsid w:val="00EA6833"/>
    <w:rsid w:val="00EB4AB8"/>
    <w:rsid w:val="00EC48C9"/>
    <w:rsid w:val="00ED00BB"/>
    <w:rsid w:val="00ED0C31"/>
    <w:rsid w:val="00ED6666"/>
    <w:rsid w:val="00ED677F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92499"/>
    <w:rsid w:val="00FA07F7"/>
    <w:rsid w:val="00FA3128"/>
    <w:rsid w:val="00FB6FF2"/>
    <w:rsid w:val="00FC5CE5"/>
    <w:rsid w:val="00FD1A58"/>
    <w:rsid w:val="00FE28FA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D4EB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D4EB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hangingminds.org/techniques/conversion/special_language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294D-AA90-408A-9F24-C67CFAE0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1765</Words>
  <Characters>10061</Characters>
  <Application>Microsoft Office Word</Application>
  <DocSecurity>0</DocSecurity>
  <Lines>83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13</cp:revision>
  <cp:lastPrinted>2015-09-15T13:52:00Z</cp:lastPrinted>
  <dcterms:created xsi:type="dcterms:W3CDTF">2019-01-13T17:15:00Z</dcterms:created>
  <dcterms:modified xsi:type="dcterms:W3CDTF">2024-12-04T20:45:00Z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